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12618</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lang w:val="en-US" w:eastAsia="zh-CN"/>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lang w:val="en-US" w:eastAsia="zh-CN"/>
        </w:rPr>
        <w:t>4</w:t>
      </w:r>
      <w:bookmarkStart w:id="0" w:name="_GoBack"/>
      <w:bookmarkEnd w:id="0"/>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HARQ enhancement for IoT-NTN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119</w:t>
      </w:r>
      <w:r>
        <w:rPr>
          <w:rFonts w:hint="eastAsia" w:ascii="Arial" w:hAnsi="Arial" w:eastAsia="宋体" w:cs="Arial"/>
          <w:kern w:val="0"/>
          <w:sz w:val="20"/>
          <w:szCs w:val="20"/>
          <w:lang w:val="en-US" w:eastAsia="zh-CN"/>
        </w:rPr>
        <w:t>bis</w:t>
      </w:r>
      <w:r>
        <w:rPr>
          <w:rFonts w:hint="eastAsia" w:ascii="Arial" w:hAnsi="Arial" w:eastAsia="宋体" w:cs="Arial"/>
          <w:kern w:val="0"/>
          <w:sz w:val="20"/>
          <w:szCs w:val="20"/>
          <w:lang w:val="en-GB"/>
        </w:rPr>
        <w:t xml:space="preserve">-e </w:t>
      </w:r>
      <w:r>
        <w:rPr>
          <w:rFonts w:hint="eastAsia" w:ascii="Arial" w:hAnsi="Arial" w:eastAsia="宋体" w:cs="Arial"/>
          <w:kern w:val="0"/>
          <w:sz w:val="20"/>
          <w:szCs w:val="20"/>
        </w:rPr>
        <w:t>[1]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HARQ</w:t>
      </w:r>
      <w:r>
        <w:rPr>
          <w:rFonts w:hint="eastAsia" w:ascii="Arial" w:hAnsi="Arial" w:eastAsia="宋体" w:cs="Arial"/>
          <w:kern w:val="0"/>
          <w:sz w:val="20"/>
          <w:szCs w:val="20"/>
        </w:rPr>
        <w:t xml:space="preserv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are achieved</w:t>
      </w:r>
      <w:r>
        <w:rPr>
          <w:rFonts w:ascii="Arial" w:hAnsi="Arial" w:eastAsia="宋体" w:cs="Arial"/>
          <w:kern w:val="0"/>
          <w:sz w:val="20"/>
          <w:szCs w:val="20"/>
          <w:lang w:val="en-GB" w:eastAsia="en-US"/>
        </w:rPr>
        <w:t xml:space="preserve">: </w:t>
      </w:r>
    </w:p>
    <w:p>
      <w:pPr>
        <w:pStyle w:val="18"/>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Agreements:</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For NB-IoT, enabling/disabling HARQ feedback can be configured per DL HARQ process at least via UE specific RRC signaling (e.g. RRCConnectionSetup). This does not preclude other options (e.g. DCI-based). We can also revert this decision if requested by RAN1.</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Disabling HARQ feedback is supported for NB-IoT with single HARQ process, and it is up to eNB implementation whether to disable the HARQ feedback</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HARQ mode A/B for uplink transmission may be configured per UL HARQ process at least via UE specific RRC signalling for eMTC and NB-IOT NTN. We can also revert this decision if requested by RAN1</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RAN2 agree to take R17 NR NTN DRX solution as baseline for IoT NTN, e.g. for HARQ process with DL HARQ feedback disabled, the UE will not start the corresponding DL HARQ RTT timer.</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RAN2 agree to take R17 NR NTN DRX solution as baseline for IoT NTN, e.g. for HARQ process in HARQ mode B, the UE will not start the corresponding UL HARQ RTT timer.</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For NB-IoT NTN with single HARQ process in HARQ mode B, the UE will start/restart drx-inactivity timer in the subframe containing the last repetition of the corresponding PUSCH transmission (can still check whether other alternatives also work)</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The solutions of LCP restriction on allowed HARQ mode in NR NTN can be reused for eMTC NTN.</w:t>
      </w:r>
    </w:p>
    <w:p>
      <w:pPr>
        <w:pStyle w:val="18"/>
        <w:pBdr>
          <w:top w:val="single" w:color="auto" w:sz="4" w:space="1"/>
          <w:left w:val="single" w:color="auto" w:sz="4" w:space="4"/>
          <w:bottom w:val="single" w:color="auto" w:sz="4" w:space="1"/>
          <w:right w:val="single" w:color="auto" w:sz="4" w:space="4"/>
        </w:pBdr>
        <w:ind w:left="1259" w:firstLine="0"/>
        <w:rPr>
          <w:rFonts w:hint="default" w:ascii="Arial" w:hAnsi="Arial" w:cs="Arial"/>
          <w:sz w:val="20"/>
          <w:szCs w:val="20"/>
        </w:rPr>
      </w:pPr>
      <w:r>
        <w:rPr>
          <w:rFonts w:hint="default" w:ascii="Arial" w:hAnsi="Arial" w:cs="Arial"/>
          <w:sz w:val="20"/>
          <w:szCs w:val="20"/>
        </w:rPr>
        <w:t xml:space="preserve">Working Assumption: </w:t>
      </w:r>
    </w:p>
    <w:p>
      <w:pPr>
        <w:pStyle w:val="18"/>
        <w:numPr>
          <w:ilvl w:val="0"/>
          <w:numId w:val="2"/>
        </w:numPr>
        <w:pBdr>
          <w:top w:val="single" w:color="auto" w:sz="4" w:space="1"/>
          <w:left w:val="single" w:color="auto" w:sz="4" w:space="4"/>
          <w:bottom w:val="single" w:color="auto" w:sz="4" w:space="1"/>
          <w:right w:val="single" w:color="auto" w:sz="4" w:space="4"/>
        </w:pBdr>
        <w:rPr>
          <w:rFonts w:hint="default" w:ascii="Arial" w:hAnsi="Arial" w:eastAsia="宋体" w:cs="Arial"/>
          <w:kern w:val="0"/>
          <w:sz w:val="20"/>
          <w:szCs w:val="20"/>
          <w:lang w:val="en-GB" w:eastAsia="en-US"/>
        </w:rPr>
      </w:pPr>
      <w:r>
        <w:rPr>
          <w:rFonts w:hint="default" w:ascii="Arial" w:hAnsi="Arial" w:cs="Arial"/>
          <w:sz w:val="20"/>
          <w:szCs w:val="20"/>
        </w:rPr>
        <w:t>Blind retransmission can be used in IoT NTN when HARQ feedback is disabled and when HARQ mode B is used (RAN2 assumes there is no spec change for this)</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 on</w:t>
      </w:r>
      <w:r>
        <w:rPr>
          <w:rFonts w:ascii="Arial" w:hAnsi="Arial" w:eastAsia="宋体" w:cs="Arial"/>
          <w:kern w:val="0"/>
          <w:sz w:val="20"/>
          <w:szCs w:val="20"/>
          <w:lang w:val="en-GB"/>
        </w:rPr>
        <w:t xml:space="preserve"> </w:t>
      </w:r>
      <w:r>
        <w:rPr>
          <w:rFonts w:hint="eastAsia" w:ascii="Arial" w:hAnsi="Arial" w:eastAsia="宋体" w:cs="Arial"/>
          <w:kern w:val="0"/>
          <w:sz w:val="20"/>
          <w:szCs w:val="20"/>
        </w:rPr>
        <w:t>HARQ enhancements for IoT-NTN</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before="240" w:after="180"/>
        <w:outlineLvl w:val="1"/>
        <w:rPr>
          <w:rFonts w:ascii="Arial" w:hAnsi="Arial" w:eastAsia="宋体" w:cs="Arial"/>
          <w:kern w:val="0"/>
          <w:sz w:val="32"/>
          <w:szCs w:val="32"/>
        </w:rPr>
      </w:pPr>
      <w:r>
        <w:rPr>
          <w:rFonts w:ascii="Arial" w:hAnsi="Arial" w:eastAsia="宋体" w:cs="Arial"/>
          <w:kern w:val="0"/>
          <w:sz w:val="32"/>
          <w:szCs w:val="32"/>
        </w:rPr>
        <w:t>2.</w:t>
      </w:r>
      <w:r>
        <w:rPr>
          <w:rFonts w:hint="eastAsia" w:ascii="Arial" w:hAnsi="Arial" w:eastAsia="宋体" w:cs="Arial"/>
          <w:kern w:val="0"/>
          <w:sz w:val="32"/>
          <w:szCs w:val="32"/>
          <w:lang w:val="en-US" w:eastAsia="zh-CN"/>
        </w:rPr>
        <w:t>1</w:t>
      </w:r>
      <w:r>
        <w:rPr>
          <w:rFonts w:ascii="Arial" w:hAnsi="Arial" w:eastAsia="宋体" w:cs="Arial"/>
          <w:kern w:val="0"/>
          <w:sz w:val="32"/>
          <w:szCs w:val="32"/>
        </w:rPr>
        <w:t xml:space="preserve"> DRX</w:t>
      </w:r>
      <w:r>
        <w:rPr>
          <w:rFonts w:hint="eastAsia" w:ascii="Arial" w:hAnsi="Arial" w:eastAsia="宋体" w:cs="Arial"/>
          <w:kern w:val="0"/>
          <w:sz w:val="32"/>
          <w:szCs w:val="32"/>
        </w:rPr>
        <w:t xml:space="preserve"> impacts</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rPr>
        <w:t>In Rel-17 NR NTN, RAN2 agreed the following agreements on enabling/disabling DL HARQ feedback.</w:t>
      </w:r>
      <w:r>
        <w:rPr>
          <w:rFonts w:hint="eastAsia" w:ascii="Arial" w:hAnsi="Arial" w:eastAsia="宋体" w:cs="Arial"/>
          <w:kern w:val="0"/>
          <w:sz w:val="20"/>
          <w:szCs w:val="20"/>
          <w:lang w:val="en-US" w:eastAsia="zh-CN"/>
        </w:rPr>
        <w:t xml:space="preserve"> </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For HARQ process with DL HARQ feedback disabled, the UE will not start drx-HARQ-RTT-TimerDL.</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 xml:space="preserve">For HARQ process with DL HARQ feedback enabled, the UE will extend the value of drx-HARQ-RTT-TimerDL by UE-gNB RTT and start the timer. </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lang w:val="en-GB" w:eastAsia="en-GB"/>
        </w:rPr>
        <w:t>For HARQ process not configured with DL HARQ feedback enabled/disabled, drx-HARQ-RTT-TimerDL behaves as per legacy</w:t>
      </w:r>
      <w:r>
        <w:rPr>
          <w:rFonts w:hint="eastAsia" w:ascii="Arial" w:hAnsi="Arial" w:eastAsia="宋体" w:cs="Arial"/>
          <w:kern w:val="0"/>
          <w:sz w:val="20"/>
          <w:szCs w:val="20"/>
        </w:rPr>
        <w:t xml:space="preserve">. </w:t>
      </w:r>
    </w:p>
    <w:p>
      <w:pPr>
        <w:pStyle w:val="16"/>
        <w:spacing w:after="180"/>
        <w:ind w:firstLine="0" w:firstLineChars="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And in last meeting, RAN2 agreed to </w:t>
      </w:r>
      <w:r>
        <w:rPr>
          <w:rFonts w:hint="default" w:ascii="Arial" w:hAnsi="Arial" w:cs="Arial"/>
          <w:sz w:val="20"/>
          <w:szCs w:val="20"/>
        </w:rPr>
        <w:t>take R17 NR NTN DRX solution as baseline for IoT NTN, e.g. for HARQ process with DL HARQ feedback disabled, the UE will not start the corresponding DL HARQ RTT timer.</w:t>
      </w:r>
      <w:r>
        <w:rPr>
          <w:rFonts w:hint="eastAsia" w:ascii="Arial" w:hAnsi="Arial" w:cs="Arial"/>
          <w:sz w:val="20"/>
          <w:szCs w:val="20"/>
          <w:lang w:val="en-US" w:eastAsia="zh-CN"/>
        </w:rPr>
        <w:t xml:space="preserve"> So for </w:t>
      </w:r>
      <w:r>
        <w:rPr>
          <w:rFonts w:hint="eastAsia" w:ascii="Arial" w:hAnsi="Arial" w:eastAsia="宋体" w:cs="Arial"/>
          <w:kern w:val="0"/>
          <w:sz w:val="20"/>
          <w:szCs w:val="20"/>
        </w:rPr>
        <w:t>HARQ process with DL HARQ feedback enabled</w:t>
      </w:r>
      <w:r>
        <w:rPr>
          <w:rFonts w:hint="eastAsia" w:ascii="Arial" w:hAnsi="Arial" w:eastAsia="宋体" w:cs="Arial"/>
          <w:kern w:val="0"/>
          <w:sz w:val="20"/>
          <w:szCs w:val="20"/>
          <w:lang w:val="en-US" w:eastAsia="zh-CN"/>
        </w:rPr>
        <w:t xml:space="preserve"> or for </w:t>
      </w:r>
      <w:r>
        <w:rPr>
          <w:rFonts w:hint="eastAsia" w:ascii="Arial" w:hAnsi="Arial" w:eastAsia="宋体" w:cs="Arial"/>
          <w:kern w:val="0"/>
          <w:sz w:val="20"/>
          <w:szCs w:val="20"/>
          <w:lang w:val="en-GB" w:eastAsia="en-GB"/>
        </w:rPr>
        <w:t>HARQ process not configured with DL HARQ feedback enabled/disabled</w:t>
      </w:r>
      <w:r>
        <w:rPr>
          <w:rFonts w:hint="eastAsia" w:ascii="Arial" w:hAnsi="Arial" w:eastAsia="宋体" w:cs="Arial"/>
          <w:kern w:val="0"/>
          <w:sz w:val="20"/>
          <w:szCs w:val="20"/>
          <w:lang w:val="en-US" w:eastAsia="zh-CN"/>
        </w:rPr>
        <w:t>, the same mechanism can be also reused for IoT-NTN.</w:t>
      </w:r>
    </w:p>
    <w:p>
      <w:pPr>
        <w:spacing w:beforeLines="50" w:afterLines="50"/>
        <w:rPr>
          <w:rFonts w:hint="eastAsia"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1</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For HARQ process with DL HARQ feedback enabled, the UE will extend the value of drx-HARQ-RTT-TimerDL by UE-</w:t>
      </w:r>
      <w:r>
        <w:rPr>
          <w:rFonts w:hint="eastAsia" w:ascii="Arial" w:hAnsi="Arial" w:cs="Arial"/>
          <w:b/>
          <w:sz w:val="20"/>
          <w:szCs w:val="20"/>
          <w:lang w:val="en-US" w:eastAsia="zh-CN"/>
        </w:rPr>
        <w:t>e</w:t>
      </w:r>
      <w:r>
        <w:rPr>
          <w:rFonts w:hint="eastAsia" w:ascii="Arial" w:hAnsi="Arial" w:cs="Arial"/>
          <w:b/>
          <w:sz w:val="20"/>
          <w:szCs w:val="20"/>
        </w:rPr>
        <w:t xml:space="preserve">NB RTT and start the timer. </w:t>
      </w:r>
    </w:p>
    <w:p>
      <w:pPr>
        <w:spacing w:beforeLines="50" w:afterLines="50"/>
        <w:rPr>
          <w:rFonts w:hint="default" w:ascii="Arial" w:hAnsi="Arial" w:cs="Arial" w:eastAsiaTheme="minorEastAsia"/>
          <w:b/>
          <w:sz w:val="20"/>
          <w:szCs w:val="20"/>
          <w:lang w:val="en-US" w:eastAsia="zh-CN"/>
        </w:rPr>
      </w:pPr>
      <w:r>
        <w:rPr>
          <w:rFonts w:hint="eastAsia" w:ascii="Arial" w:hAnsi="Arial" w:cs="Arial"/>
          <w:b/>
          <w:sz w:val="20"/>
          <w:szCs w:val="20"/>
          <w:lang w:val="en-US" w:eastAsia="zh-CN"/>
        </w:rPr>
        <w:t>Proposal 2: For HARQ process not configured with DL HARQ feedback enabled/disabled, drx-HARQ-RTT-TimerDL behaves as per legacy.</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 xml:space="preserve">For UL HARQ operation, </w:t>
      </w:r>
      <w:r>
        <w:rPr>
          <w:rFonts w:hint="eastAsia" w:ascii="Arial" w:hAnsi="Arial" w:eastAsia="宋体" w:cs="Arial"/>
          <w:kern w:val="0"/>
          <w:sz w:val="20"/>
          <w:szCs w:val="20"/>
          <w:lang w:val="en-US" w:eastAsia="zh-CN"/>
        </w:rPr>
        <w:t>similar to DL, t</w:t>
      </w:r>
      <w:r>
        <w:rPr>
          <w:rFonts w:hint="eastAsia" w:ascii="Arial" w:hAnsi="Arial" w:cs="Arial"/>
          <w:sz w:val="20"/>
        </w:rPr>
        <w:t>he following agreements achieved in</w:t>
      </w:r>
      <w:r>
        <w:rPr>
          <w:rFonts w:ascii="Arial" w:hAnsi="Arial" w:eastAsia="宋体" w:cs="Arial"/>
          <w:kern w:val="0"/>
          <w:sz w:val="20"/>
          <w:szCs w:val="20"/>
        </w:rPr>
        <w:t xml:space="preserve"> Rel-17 NR NTN</w:t>
      </w:r>
      <w:r>
        <w:rPr>
          <w:rFonts w:hint="eastAsia" w:ascii="Arial" w:hAnsi="Arial" w:eastAsia="宋体" w:cs="Arial"/>
          <w:kern w:val="0"/>
          <w:sz w:val="20"/>
          <w:szCs w:val="20"/>
          <w:lang w:val="en-US" w:eastAsia="zh-CN"/>
        </w:rPr>
        <w:t xml:space="preserve"> can be reused for IoT-NTN</w:t>
      </w:r>
      <w:r>
        <w:rPr>
          <w:rFonts w:hint="eastAsia" w:ascii="Arial" w:hAnsi="Arial" w:eastAsia="宋体" w:cs="Arial"/>
          <w:kern w:val="0"/>
          <w:sz w:val="20"/>
          <w:szCs w:val="20"/>
        </w:rPr>
        <w:t>:</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For HARQ mode A, the UE will extend the length of drx-HARQ-RTT-TimerUL by UE-gNB RTT.</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 xml:space="preserve">For HARQ mode B, the UE will not start drx-HARQ-RTT-TimerUL. </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Configuration of UL HARQ re-transmission mode is semi-static, signalled via RRC, and the decision and criteria to configure UL HARQ re-transmission mode is under network control.</w:t>
      </w:r>
    </w:p>
    <w:p>
      <w:pPr>
        <w:spacing w:beforeLines="50" w:afterLines="50"/>
        <w:rPr>
          <w:rFonts w:hint="eastAsia"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3</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For HARQ </w:t>
      </w:r>
      <w:r>
        <w:rPr>
          <w:rFonts w:hint="eastAsia" w:ascii="Arial" w:hAnsi="Arial" w:cs="Arial"/>
          <w:b/>
          <w:sz w:val="20"/>
          <w:szCs w:val="20"/>
          <w:lang w:val="en-US" w:eastAsia="zh-CN"/>
        </w:rPr>
        <w:t xml:space="preserve">process with </w:t>
      </w:r>
      <w:r>
        <w:rPr>
          <w:rFonts w:hint="eastAsia" w:ascii="Arial" w:hAnsi="Arial" w:cs="Arial"/>
          <w:b/>
          <w:sz w:val="20"/>
          <w:szCs w:val="20"/>
        </w:rPr>
        <w:t>mode A, the UE will extend the length of drx-HARQ-RTT-TimerUL by UE-</w:t>
      </w:r>
      <w:r>
        <w:rPr>
          <w:rFonts w:hint="eastAsia" w:ascii="Arial" w:hAnsi="Arial" w:cs="Arial"/>
          <w:b/>
          <w:sz w:val="20"/>
          <w:szCs w:val="20"/>
          <w:lang w:val="en-US" w:eastAsia="zh-CN"/>
        </w:rPr>
        <w:t>e</w:t>
      </w:r>
      <w:r>
        <w:rPr>
          <w:rFonts w:hint="eastAsia" w:ascii="Arial" w:hAnsi="Arial" w:cs="Arial"/>
          <w:b/>
          <w:sz w:val="20"/>
          <w:szCs w:val="20"/>
        </w:rPr>
        <w:t xml:space="preserve">NB RTT. </w:t>
      </w:r>
    </w:p>
    <w:p>
      <w:pPr>
        <w:widowControl/>
        <w:spacing w:before="240" w:after="180"/>
        <w:outlineLvl w:val="1"/>
        <w:rPr>
          <w:rFonts w:hint="default" w:ascii="Arial" w:hAnsi="Arial" w:eastAsia="宋体" w:cs="Arial"/>
          <w:kern w:val="0"/>
          <w:sz w:val="32"/>
          <w:szCs w:val="32"/>
          <w:lang w:val="en-US" w:eastAsia="zh-CN"/>
        </w:rPr>
      </w:pPr>
      <w:r>
        <w:rPr>
          <w:rFonts w:ascii="Arial" w:hAnsi="Arial" w:eastAsia="宋体" w:cs="Arial"/>
          <w:kern w:val="0"/>
          <w:sz w:val="32"/>
          <w:szCs w:val="32"/>
        </w:rPr>
        <w:t xml:space="preserve">2.3 </w:t>
      </w:r>
      <w:r>
        <w:rPr>
          <w:rFonts w:hint="eastAsia" w:ascii="Arial" w:hAnsi="Arial" w:eastAsia="宋体" w:cs="Arial"/>
          <w:kern w:val="0"/>
          <w:sz w:val="32"/>
          <w:szCs w:val="32"/>
          <w:lang w:val="en-US" w:eastAsia="zh-CN"/>
        </w:rPr>
        <w:t>UE capability</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During the discussion on </w:t>
      </w:r>
      <w:r>
        <w:rPr>
          <w:rFonts w:hint="eastAsia" w:ascii="Arial" w:hAnsi="Arial" w:eastAsia="宋体" w:cs="Arial"/>
          <w:kern w:val="0"/>
          <w:sz w:val="20"/>
          <w:szCs w:val="20"/>
          <w:lang w:val="en-US" w:eastAsia="zh-CN"/>
        </w:rPr>
        <w:t xml:space="preserve">UE </w:t>
      </w:r>
      <w:r>
        <w:rPr>
          <w:rFonts w:hint="eastAsia" w:ascii="Arial" w:hAnsi="Arial" w:eastAsia="宋体" w:cs="Arial"/>
          <w:b w:val="0"/>
          <w:bCs w:val="0"/>
          <w:kern w:val="0"/>
          <w:sz w:val="20"/>
          <w:szCs w:val="20"/>
          <w:lang w:val="en-US" w:eastAsia="zh-CN"/>
        </w:rPr>
        <w:t xml:space="preserve">capability in R17 NR NTN, RAN2 introduced optional UE capabilities for disabling DL HARQ feedback and HARQ mode B separately. Specifically, the IE </w:t>
      </w:r>
      <w:r>
        <w:rPr>
          <w:rFonts w:hint="eastAsia" w:ascii="Arial" w:hAnsi="Arial" w:eastAsia="宋体" w:cs="Arial"/>
          <w:b w:val="0"/>
          <w:bCs w:val="0"/>
          <w:i/>
          <w:iCs/>
          <w:kern w:val="0"/>
          <w:sz w:val="20"/>
          <w:szCs w:val="20"/>
          <w:lang w:val="en-US" w:eastAsia="zh-CN"/>
        </w:rPr>
        <w:t>harq-FeedbackDisabled-r17</w:t>
      </w:r>
      <w:r>
        <w:rPr>
          <w:rFonts w:hint="eastAsia" w:ascii="Arial" w:hAnsi="Arial" w:eastAsia="宋体" w:cs="Arial"/>
          <w:b w:val="0"/>
          <w:bCs w:val="0"/>
          <w:kern w:val="0"/>
          <w:sz w:val="20"/>
          <w:szCs w:val="20"/>
          <w:lang w:val="en-US" w:eastAsia="zh-CN"/>
        </w:rPr>
        <w:t xml:space="preserve"> is introduced to indicate whether the UE supports disabled HARQ feedback for downlink transmission, and the IE </w:t>
      </w:r>
      <w:r>
        <w:rPr>
          <w:rFonts w:hint="eastAsia" w:ascii="Arial" w:hAnsi="Arial" w:eastAsia="宋体" w:cs="Arial"/>
          <w:b w:val="0"/>
          <w:bCs w:val="0"/>
          <w:i/>
          <w:iCs/>
          <w:kern w:val="0"/>
          <w:sz w:val="20"/>
          <w:szCs w:val="20"/>
          <w:lang w:val="en-US" w:eastAsia="zh-CN"/>
        </w:rPr>
        <w:t xml:space="preserve">uplink-Harq-ModeB-r17 </w:t>
      </w:r>
      <w:r>
        <w:rPr>
          <w:rFonts w:hint="eastAsia" w:ascii="Arial" w:hAnsi="Arial" w:eastAsia="宋体" w:cs="Arial"/>
          <w:b w:val="0"/>
          <w:bCs w:val="0"/>
          <w:kern w:val="0"/>
          <w:sz w:val="20"/>
          <w:szCs w:val="20"/>
          <w:lang w:val="en-US" w:eastAsia="zh-CN"/>
        </w:rPr>
        <w:t>is introduced to indicate whether the UE supports HARQ Mode B and the corresponding LCP restrictions for uplink transmission in TS 38.306 [2] as following. Therefore, we think the similar optional capability can be introduced for IoT-NTN to indicate whether the UE supports disabling DL HARQ feedback or HARQ mode B.</w:t>
      </w:r>
    </w:p>
    <w:tbl>
      <w:tblPr>
        <w:tblStyle w:val="8"/>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7087"/>
        <w:gridCol w:w="568"/>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7" w:type="dxa"/>
          </w:tcPr>
          <w:p>
            <w:pPr>
              <w:pStyle w:val="22"/>
              <w:rPr>
                <w:rFonts w:cs="Arial"/>
                <w:b/>
                <w:bCs/>
                <w:i/>
                <w:iCs/>
                <w:szCs w:val="18"/>
                <w:highlight w:val="none"/>
              </w:rPr>
            </w:pPr>
            <w:r>
              <w:rPr>
                <w:rFonts w:cs="Arial"/>
                <w:b/>
                <w:bCs/>
                <w:i/>
                <w:iCs/>
                <w:szCs w:val="18"/>
                <w:highlight w:val="none"/>
              </w:rPr>
              <w:t>harq-FeedbackDisabled-r17</w:t>
            </w:r>
          </w:p>
          <w:p>
            <w:pPr>
              <w:pStyle w:val="22"/>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Pr>
          <w:p>
            <w:pPr>
              <w:pStyle w:val="22"/>
              <w:rPr>
                <w:lang w:eastAsia="zh-CN"/>
              </w:rPr>
            </w:pPr>
            <w:r>
              <w:t>UE</w:t>
            </w:r>
          </w:p>
        </w:tc>
        <w:tc>
          <w:tcPr>
            <w:tcW w:w="567" w:type="dxa"/>
          </w:tcPr>
          <w:p>
            <w:pPr>
              <w:pStyle w:val="22"/>
              <w:rPr>
                <w:lang w:eastAsia="zh-CN"/>
              </w:rPr>
            </w:pPr>
            <w:r>
              <w:t>No</w:t>
            </w:r>
          </w:p>
        </w:tc>
        <w:tc>
          <w:tcPr>
            <w:tcW w:w="709" w:type="dxa"/>
          </w:tcPr>
          <w:p>
            <w:pPr>
              <w:pStyle w:val="22"/>
              <w:rPr>
                <w:lang w:eastAsia="zh-CN"/>
              </w:rPr>
            </w:pPr>
            <w:r>
              <w:t>No</w:t>
            </w:r>
          </w:p>
        </w:tc>
        <w:tc>
          <w:tcPr>
            <w:tcW w:w="708" w:type="dxa"/>
          </w:tcPr>
          <w:p>
            <w:pPr>
              <w:pStyle w:val="22"/>
              <w:rPr>
                <w:lang w:eastAsia="zh-CN"/>
              </w:rPr>
            </w:pPr>
            <w:r>
              <w:rPr>
                <w:rFonts w:eastAsia="MS Mincho"/>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7087" w:type="dxa"/>
          </w:tcPr>
          <w:p>
            <w:pPr>
              <w:pStyle w:val="22"/>
              <w:rPr>
                <w:rFonts w:cs="Arial"/>
                <w:b/>
                <w:bCs/>
                <w:i/>
                <w:iCs/>
                <w:szCs w:val="18"/>
                <w:highlight w:val="none"/>
              </w:rPr>
            </w:pPr>
            <w:r>
              <w:rPr>
                <w:rFonts w:cs="Arial"/>
                <w:b/>
                <w:bCs/>
                <w:i/>
                <w:iCs/>
                <w:szCs w:val="18"/>
                <w:highlight w:val="none"/>
              </w:rPr>
              <w:t>uplink-Harq-ModeB-r17</w:t>
            </w:r>
          </w:p>
          <w:p>
            <w:pPr>
              <w:pStyle w:val="22"/>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Pr>
          <w:p>
            <w:pPr>
              <w:pStyle w:val="22"/>
              <w:jc w:val="center"/>
              <w:rPr>
                <w:szCs w:val="18"/>
              </w:rPr>
            </w:pPr>
            <w:r>
              <w:t>UE</w:t>
            </w:r>
          </w:p>
        </w:tc>
        <w:tc>
          <w:tcPr>
            <w:tcW w:w="567" w:type="dxa"/>
          </w:tcPr>
          <w:p>
            <w:pPr>
              <w:pStyle w:val="22"/>
              <w:jc w:val="center"/>
              <w:rPr>
                <w:szCs w:val="18"/>
              </w:rPr>
            </w:pPr>
            <w:r>
              <w:t>No</w:t>
            </w:r>
          </w:p>
        </w:tc>
        <w:tc>
          <w:tcPr>
            <w:tcW w:w="709" w:type="dxa"/>
          </w:tcPr>
          <w:p>
            <w:pPr>
              <w:pStyle w:val="22"/>
              <w:jc w:val="center"/>
              <w:rPr>
                <w:szCs w:val="18"/>
              </w:rPr>
            </w:pPr>
            <w:r>
              <w:t>No</w:t>
            </w:r>
          </w:p>
        </w:tc>
        <w:tc>
          <w:tcPr>
            <w:tcW w:w="708" w:type="dxa"/>
          </w:tcPr>
          <w:p>
            <w:pPr>
              <w:pStyle w:val="22"/>
              <w:jc w:val="center"/>
              <w:rPr>
                <w:szCs w:val="18"/>
              </w:rPr>
            </w:pPr>
            <w:r>
              <w:rPr>
                <w:rFonts w:eastAsia="MS Mincho"/>
              </w:rPr>
              <w:t>No</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An optional UE capability is introduced to indicate whether the UE supports disabling HARQ feedback for downlink transmission.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An optional UE capability is introduced to indicate whether the UE supports HARQ Mode B and the corresponding LCP restrictions for uplink transmission.</w:t>
      </w:r>
    </w:p>
    <w:p>
      <w:pPr>
        <w:widowControl/>
        <w:spacing w:after="180"/>
        <w:rPr>
          <w:rFonts w:hint="default"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spacing w:beforeLines="50" w:afterLines="50"/>
        <w:rPr>
          <w:rFonts w:hint="eastAsia"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1</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For HARQ process with DL HARQ feedback enabled, the UE will extend the value of drx-HARQ-RTT-TimerDL by UE-</w:t>
      </w:r>
      <w:r>
        <w:rPr>
          <w:rFonts w:hint="eastAsia" w:ascii="Arial" w:hAnsi="Arial" w:cs="Arial"/>
          <w:b/>
          <w:sz w:val="20"/>
          <w:szCs w:val="20"/>
          <w:lang w:val="en-US" w:eastAsia="zh-CN"/>
        </w:rPr>
        <w:t>e</w:t>
      </w:r>
      <w:r>
        <w:rPr>
          <w:rFonts w:hint="eastAsia" w:ascii="Arial" w:hAnsi="Arial" w:cs="Arial"/>
          <w:b/>
          <w:sz w:val="20"/>
          <w:szCs w:val="20"/>
        </w:rPr>
        <w:t xml:space="preserve">NB RTT and start the timer. </w:t>
      </w:r>
    </w:p>
    <w:p>
      <w:pPr>
        <w:spacing w:beforeLines="50" w:afterLines="50"/>
        <w:rPr>
          <w:rFonts w:hint="default" w:ascii="Arial" w:hAnsi="Arial" w:cs="Arial" w:eastAsiaTheme="minorEastAsia"/>
          <w:b/>
          <w:sz w:val="20"/>
          <w:szCs w:val="20"/>
          <w:lang w:val="en-US" w:eastAsia="zh-CN"/>
        </w:rPr>
      </w:pPr>
      <w:r>
        <w:rPr>
          <w:rFonts w:hint="eastAsia" w:ascii="Arial" w:hAnsi="Arial" w:cs="Arial"/>
          <w:b/>
          <w:sz w:val="20"/>
          <w:szCs w:val="20"/>
          <w:lang w:val="en-US" w:eastAsia="zh-CN"/>
        </w:rPr>
        <w:t>Proposal 2: For HARQ process not configured with DL HARQ feedback enabled/disabled, drx-HARQ-RTT-TimerDL behaves as per legacy.</w:t>
      </w:r>
    </w:p>
    <w:p>
      <w:pPr>
        <w:spacing w:beforeLines="50" w:afterLines="50"/>
        <w:rPr>
          <w:rFonts w:hint="eastAsia"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3</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For HARQ </w:t>
      </w:r>
      <w:r>
        <w:rPr>
          <w:rFonts w:hint="eastAsia" w:ascii="Arial" w:hAnsi="Arial" w:cs="Arial"/>
          <w:b/>
          <w:sz w:val="20"/>
          <w:szCs w:val="20"/>
          <w:lang w:val="en-US" w:eastAsia="zh-CN"/>
        </w:rPr>
        <w:t xml:space="preserve">process with </w:t>
      </w:r>
      <w:r>
        <w:rPr>
          <w:rFonts w:hint="eastAsia" w:ascii="Arial" w:hAnsi="Arial" w:cs="Arial"/>
          <w:b/>
          <w:sz w:val="20"/>
          <w:szCs w:val="20"/>
        </w:rPr>
        <w:t>mode A, the UE will extend the length of drx-HARQ-RTT-TimerUL by UE-</w:t>
      </w:r>
      <w:r>
        <w:rPr>
          <w:rFonts w:hint="eastAsia" w:ascii="Arial" w:hAnsi="Arial" w:cs="Arial"/>
          <w:b/>
          <w:sz w:val="20"/>
          <w:szCs w:val="20"/>
          <w:lang w:val="en-US" w:eastAsia="zh-CN"/>
        </w:rPr>
        <w:t>e</w:t>
      </w:r>
      <w:r>
        <w:rPr>
          <w:rFonts w:hint="eastAsia" w:ascii="Arial" w:hAnsi="Arial" w:cs="Arial"/>
          <w:b/>
          <w:sz w:val="20"/>
          <w:szCs w:val="20"/>
        </w:rPr>
        <w:t xml:space="preserve">NB RTT. </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An optional UE capability is introduced to indicate whether the UE supports disabling HARQ feedback for downlink transmission.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An optional UE capability is introduced to indicate whether the UE supports HARQ Mode B and the corresponding LCP restrictions for uplink transmission.</w:t>
      </w:r>
    </w:p>
    <w:p>
      <w:pPr>
        <w:widowControl/>
        <w:spacing w:beforeLines="50" w:after="180"/>
        <w:rPr>
          <w:rFonts w:ascii="Arial" w:hAnsi="Arial" w:cs="Arial"/>
          <w:b/>
          <w:bCs/>
          <w:sz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w:t>
      </w:r>
      <w:r>
        <w:rPr>
          <w:rFonts w:hint="eastAsia" w:ascii="Arial" w:hAnsi="Arial" w:eastAsia="宋体" w:cs="Arial"/>
          <w:kern w:val="0"/>
          <w:sz w:val="20"/>
          <w:szCs w:val="20"/>
        </w:rPr>
        <w:t>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#119</w:t>
      </w:r>
      <w:r>
        <w:rPr>
          <w:rFonts w:hint="eastAsia" w:ascii="Arial" w:hAnsi="Arial" w:eastAsia="宋体" w:cs="Arial"/>
          <w:kern w:val="0"/>
          <w:sz w:val="20"/>
          <w:szCs w:val="20"/>
          <w:lang w:val="en-US" w:eastAsia="zh-CN"/>
        </w:rPr>
        <w:t>bis</w:t>
      </w:r>
      <w:r>
        <w:rPr>
          <w:rFonts w:hint="eastAsia" w:ascii="Arial" w:hAnsi="Arial" w:eastAsia="宋体" w:cs="Arial"/>
          <w:kern w:val="0"/>
          <w:sz w:val="20"/>
          <w:szCs w:val="20"/>
          <w:lang w:val="en-GB" w:eastAsia="en-US"/>
        </w:rPr>
        <w:t>-e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38.306 NR; User Equipment (UE) radio access capabilities (Release 17)</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C666866"/>
    <w:multiLevelType w:val="multilevel"/>
    <w:tmpl w:val="3C666866"/>
    <w:lvl w:ilvl="0" w:tentative="0">
      <w:start w:val="1"/>
      <w:numFmt w:val="bullet"/>
      <w:lvlText w:val=""/>
      <w:lvlJc w:val="left"/>
      <w:pPr>
        <w:tabs>
          <w:tab w:val="left" w:pos="420"/>
        </w:tabs>
        <w:ind w:left="840" w:hanging="420"/>
      </w:pPr>
      <w:rPr>
        <w:rFonts w:hint="default" w:ascii="Symbol" w:hAnsi="Symbol"/>
      </w:rPr>
    </w:lvl>
    <w:lvl w:ilvl="1" w:tentative="0">
      <w:start w:val="1"/>
      <w:numFmt w:val="bullet"/>
      <w:lvlText w:val=""/>
      <w:lvlJc w:val="left"/>
      <w:pPr>
        <w:tabs>
          <w:tab w:val="left" w:pos="420"/>
        </w:tabs>
        <w:ind w:left="1260" w:hanging="420"/>
      </w:pPr>
      <w:rPr>
        <w:rFonts w:hint="default" w:ascii="Symbol" w:hAnsi="Symbol"/>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3">
    <w:nsid w:val="5331521C"/>
    <w:multiLevelType w:val="multilevel"/>
    <w:tmpl w:val="5331521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6E6C04B3"/>
    <w:multiLevelType w:val="multilevel"/>
    <w:tmpl w:val="6E6C04B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5147A"/>
    <w:rsid w:val="00196A53"/>
    <w:rsid w:val="001B2D58"/>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A6751"/>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31C2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A37BF0"/>
    <w:rsid w:val="094470AB"/>
    <w:rsid w:val="09AD4CAA"/>
    <w:rsid w:val="0A1469F1"/>
    <w:rsid w:val="0A173D8A"/>
    <w:rsid w:val="0CC05689"/>
    <w:rsid w:val="0CD5224C"/>
    <w:rsid w:val="0D771EA7"/>
    <w:rsid w:val="0EE436A5"/>
    <w:rsid w:val="0F071C89"/>
    <w:rsid w:val="0F220B5F"/>
    <w:rsid w:val="104F2F73"/>
    <w:rsid w:val="110171B2"/>
    <w:rsid w:val="11F10CFD"/>
    <w:rsid w:val="123900DB"/>
    <w:rsid w:val="124311BD"/>
    <w:rsid w:val="124A1975"/>
    <w:rsid w:val="13392934"/>
    <w:rsid w:val="13D05981"/>
    <w:rsid w:val="14E836E8"/>
    <w:rsid w:val="155F5A4B"/>
    <w:rsid w:val="15BE553B"/>
    <w:rsid w:val="161147C5"/>
    <w:rsid w:val="16A3322F"/>
    <w:rsid w:val="174F4418"/>
    <w:rsid w:val="17CD5A7B"/>
    <w:rsid w:val="187A66B9"/>
    <w:rsid w:val="19935127"/>
    <w:rsid w:val="1ACB37C1"/>
    <w:rsid w:val="1DE55E1B"/>
    <w:rsid w:val="1EB6286D"/>
    <w:rsid w:val="20F63843"/>
    <w:rsid w:val="216646D4"/>
    <w:rsid w:val="22B32E1B"/>
    <w:rsid w:val="23944C77"/>
    <w:rsid w:val="249D5D77"/>
    <w:rsid w:val="254D3519"/>
    <w:rsid w:val="255B7B59"/>
    <w:rsid w:val="27B70C8E"/>
    <w:rsid w:val="28A83036"/>
    <w:rsid w:val="28E76E28"/>
    <w:rsid w:val="29BF17B7"/>
    <w:rsid w:val="2B4D1216"/>
    <w:rsid w:val="2C095760"/>
    <w:rsid w:val="2C4606A6"/>
    <w:rsid w:val="2C7D265B"/>
    <w:rsid w:val="2D844A12"/>
    <w:rsid w:val="2E5B62FC"/>
    <w:rsid w:val="2FC93A6E"/>
    <w:rsid w:val="30B60AE3"/>
    <w:rsid w:val="30C4636F"/>
    <w:rsid w:val="36B15D02"/>
    <w:rsid w:val="36F84B57"/>
    <w:rsid w:val="385B5BDA"/>
    <w:rsid w:val="38FC32F5"/>
    <w:rsid w:val="39030A9D"/>
    <w:rsid w:val="3CA66A58"/>
    <w:rsid w:val="3D5B3EF0"/>
    <w:rsid w:val="3ECD0998"/>
    <w:rsid w:val="3ED508CA"/>
    <w:rsid w:val="3FA42170"/>
    <w:rsid w:val="3FAF36DB"/>
    <w:rsid w:val="406A14B3"/>
    <w:rsid w:val="41855840"/>
    <w:rsid w:val="43146FF6"/>
    <w:rsid w:val="433204F8"/>
    <w:rsid w:val="44F46625"/>
    <w:rsid w:val="4599227F"/>
    <w:rsid w:val="45EA2721"/>
    <w:rsid w:val="46FE4C6E"/>
    <w:rsid w:val="472C72C1"/>
    <w:rsid w:val="47C04462"/>
    <w:rsid w:val="47D84F8A"/>
    <w:rsid w:val="47DB6ABB"/>
    <w:rsid w:val="49A97E85"/>
    <w:rsid w:val="4AC6206F"/>
    <w:rsid w:val="4C3F10FC"/>
    <w:rsid w:val="4C79760A"/>
    <w:rsid w:val="4DB0556E"/>
    <w:rsid w:val="4E9E13D8"/>
    <w:rsid w:val="4F9F5231"/>
    <w:rsid w:val="5135665F"/>
    <w:rsid w:val="51CC648B"/>
    <w:rsid w:val="528B1069"/>
    <w:rsid w:val="53D170F4"/>
    <w:rsid w:val="562D405C"/>
    <w:rsid w:val="56581D59"/>
    <w:rsid w:val="57203CEA"/>
    <w:rsid w:val="58AB4E89"/>
    <w:rsid w:val="5A2F5AF5"/>
    <w:rsid w:val="5AFF7905"/>
    <w:rsid w:val="5B492C91"/>
    <w:rsid w:val="5B7762E7"/>
    <w:rsid w:val="5D052C1F"/>
    <w:rsid w:val="5F2F6349"/>
    <w:rsid w:val="5F600D4E"/>
    <w:rsid w:val="60D14125"/>
    <w:rsid w:val="64C14E5C"/>
    <w:rsid w:val="652E7A0E"/>
    <w:rsid w:val="660E4242"/>
    <w:rsid w:val="677038E2"/>
    <w:rsid w:val="691D3648"/>
    <w:rsid w:val="69293200"/>
    <w:rsid w:val="694347AF"/>
    <w:rsid w:val="694F06EB"/>
    <w:rsid w:val="6A091242"/>
    <w:rsid w:val="6BE35659"/>
    <w:rsid w:val="6BFE2EC1"/>
    <w:rsid w:val="6E083615"/>
    <w:rsid w:val="6E6F0BB4"/>
    <w:rsid w:val="6E9E6753"/>
    <w:rsid w:val="6F245D1C"/>
    <w:rsid w:val="6FC268FF"/>
    <w:rsid w:val="71A42B10"/>
    <w:rsid w:val="732872C5"/>
    <w:rsid w:val="76606718"/>
    <w:rsid w:val="76882F1E"/>
    <w:rsid w:val="7735668B"/>
    <w:rsid w:val="78317FBD"/>
    <w:rsid w:val="79C61A14"/>
    <w:rsid w:val="7A053543"/>
    <w:rsid w:val="7C4E5B9F"/>
    <w:rsid w:val="7E1C1F3D"/>
    <w:rsid w:val="7E886BD8"/>
    <w:rsid w:val="7F1C368D"/>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0"/>
    <w:semiHidden/>
    <w:unhideWhenUsed/>
    <w:qFormat/>
    <w:uiPriority w:val="99"/>
    <w:rPr>
      <w:rFonts w:ascii="宋体" w:eastAsia="宋体"/>
      <w:sz w:val="18"/>
      <w:szCs w:val="18"/>
    </w:rPr>
  </w:style>
  <w:style w:type="paragraph" w:styleId="3">
    <w:name w:val="Body Text"/>
    <w:basedOn w:val="1"/>
    <w:unhideWhenUsed/>
    <w:qFormat/>
    <w:uiPriority w:val="99"/>
  </w:style>
  <w:style w:type="paragraph" w:styleId="4">
    <w:name w:val="Balloon Text"/>
    <w:basedOn w:val="1"/>
    <w:link w:val="2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99"/>
    <w:rPr>
      <w:color w:val="0000FF"/>
      <w:u w:val="single"/>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7"/>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Proposal"/>
    <w:basedOn w:val="3"/>
    <w:qFormat/>
    <w:uiPriority w:val="0"/>
    <w:pPr>
      <w:tabs>
        <w:tab w:val="left" w:pos="1701"/>
      </w:tabs>
    </w:pPr>
    <w:rPr>
      <w:rFonts w:ascii="Arial" w:hAnsi="Arial" w:eastAsia="等线"/>
      <w:b/>
      <w:bCs/>
      <w:sz w:val="20"/>
    </w:rPr>
  </w:style>
  <w:style w:type="character" w:customStyle="1" w:styleId="20">
    <w:name w:val="文档结构图 Char"/>
    <w:basedOn w:val="10"/>
    <w:link w:val="2"/>
    <w:semiHidden/>
    <w:qFormat/>
    <w:uiPriority w:val="99"/>
    <w:rPr>
      <w:rFonts w:ascii="宋体" w:eastAsia="宋体"/>
      <w:kern w:val="2"/>
      <w:sz w:val="18"/>
      <w:szCs w:val="18"/>
    </w:rPr>
  </w:style>
  <w:style w:type="character" w:customStyle="1" w:styleId="21">
    <w:name w:val="批注框文本 Char"/>
    <w:basedOn w:val="10"/>
    <w:link w:val="4"/>
    <w:semiHidden/>
    <w:qFormat/>
    <w:uiPriority w:val="99"/>
    <w:rPr>
      <w:kern w:val="2"/>
      <w:sz w:val="18"/>
      <w:szCs w:val="18"/>
    </w:rPr>
  </w:style>
  <w:style w:type="paragraph" w:customStyle="1" w:styleId="22">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960</Words>
  <Characters>5472</Characters>
  <Lines>45</Lines>
  <Paragraphs>12</Paragraphs>
  <TotalTime>0</TotalTime>
  <ScaleCrop>false</ScaleCrop>
  <LinksUpToDate>false</LinksUpToDate>
  <CharactersWithSpaces>6420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2022-09-30T07:56:00Z</dcterms:created>
  <dc:creator>CMCC_TJY</dc:creator>
  <cp:lastModifiedBy>cmcc_TJY</cp:lastModifiedBy>
  <dcterms:modified xsi:type="dcterms:W3CDTF">2022-11-04T02:12:07Z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